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F9B8D" w14:textId="77777777" w:rsidR="00264CE5" w:rsidRPr="00264CE5" w:rsidRDefault="00264CE5" w:rsidP="00264CE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64CE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Положение Банка России от 9 января 2019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  <w:r w:rsidRPr="00264CE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г. №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  <w:r w:rsidRPr="00264CE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672-П “О требованиях к защите информации в платежной системе Банка России”</w:t>
      </w:r>
    </w:p>
    <w:p w14:paraId="17DF4771" w14:textId="77777777" w:rsidR="00264CE5" w:rsidRPr="00264CE5" w:rsidRDefault="00264CE5" w:rsidP="00264CE5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27 марта 2019</w:t>
      </w:r>
    </w:p>
    <w:p w14:paraId="6BC47E0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Положение на основании пункта 19 части 1 и части 9 статьи 20 Федерального закона от 27 июня 2011 года N 161-ФЗ "О национальной платежной системе" (Собрание законодательства Российской Федерации, 2011, N 27, ст. 3872; 2012, N 53, ст. 7592; 2013, N 27, ст. 3477; N 30, ст. 4084; N 52, ст. 6968; 2014, N 19, ст. 2315, ст. 2317; N 43, ст. 5803; 2015, N 1, ст. 8, ст. 14; 2016, N 27, ст. 4221, ст. 4223; 2017, N 15, ст. 2134; N 18, ст. 2665; N 30, ст. 4456; 2018, N 27, ст. 3950, ст. 3952; N 32, ст. 5115, N 49, ст. 7524) (далее - Федеральный закон от 27 июня 2011 года N 161-ФЗ), решения Совета директоров Банка России (протокол заседания Совета директоров Банка России от 21 декабря 2018 года N 39) и в соответствии с требованиями Положения Банка России от 9 июня 2012 года N 382-П "О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средств", зарегистрированного Министерс</w:t>
      </w:r>
      <w:bookmarkStart w:id="1" w:name="_GoBack"/>
      <w:bookmarkEnd w:id="1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твом юстиции Российской Федерации 14 июня 2012 года № 24575,1 июля 2013 года № 28930, 10 сентября 2014 года N 34017, 22 июня 2018 года N 51411 (далее - Положение Банка России от 9 июня 2012 года N 382-П), устанавливает требования к защите информации в платежной системе Банка России.</w:t>
      </w:r>
    </w:p>
    <w:p w14:paraId="6C23094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Требования к защите информации в платежной системе Банка России (далее - требования к защите информации) должны выполнять участники платежной системы Банка России, являющиеся кредитными организациями (их филиалами), имеющие доступ к услугам по переводу денежных средств с использованием распоряжений в электронном виде, предусмотренный пунктом 3.7 Положения Банка России от 6 июля 2017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595-П "О платежной системе Банка России", зарегистрированного Министерством юстиции Российской Федерации 6 октября 2017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№ 48458, 5 декабря 2018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52892 (далее - Положение Банка России от 6 июля 2017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595-П), а также операционный центр, платежный клиринговый центр другой платежной системы при предоставлении операционных услуг и услуг платежного клиринга при переводе денежных средств с использованием сервиса быстрых платежей (далее - участники обмена).</w:t>
      </w:r>
    </w:p>
    <w:p w14:paraId="172736F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Требования к защите информации, установленные настоящим Положением, распространяются на автоматизированные системы, программное обеспечение, средства вычислительной техники, телекоммуникационное оборудование, применяемые для обработки защищаемой информации, перечисленной в пункте 2.1 Положения Банка России от 9 июня 2012 года N 382-П (далее при совместном упоминании - объекты информационной инфраструктуры).</w:t>
      </w:r>
    </w:p>
    <w:p w14:paraId="567483A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Участники обмена при осуществлении переводов денежных средств в платежной системе Банка России (далее - осуществление переводов денежных средств) с использованием сервиса срочного перевода и сервиса несрочного перевода (далее - участники ССНП) должны размещать объекты информационной инфраструктуры, используемые при осуществлении переводов денежных средств с использованием сервиса срочного перевода и сервиса несрочного перевода, в выделенных (отдельных) сегментах (группах сегментов) вычислительных сетей.</w:t>
      </w:r>
    </w:p>
    <w:p w14:paraId="4EEBD3B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объектов информационной инфраструктуры в пределах выделенного сегмента (группы сегментов) вычислительных сетей участники ССНП должны применять меры защиты информации, реализующие стандартный уровень (уровень 2) защиты информации, определенный национальным стандартом Российской Федерации ГОСТ Р 57580.1-2017 "Безопасность финансовых (банковских) операций. Защита информации финансовых организаций. Базовый состав организационных и технических мер", утвержденным приказом Федерального агентства по техническому регулированию и метрологии от 8 августа 2017 года N 822-ст "Об утверждении национального стандарта Российской Федерации" (М., ФГУП "</w:t>
      </w:r>
      <w:proofErr w:type="spellStart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Стандартинформ</w:t>
      </w:r>
      <w:proofErr w:type="spellEnd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", 2017) (далее - ГОСТ Р 57580.1-2017).</w:t>
      </w:r>
    </w:p>
    <w:p w14:paraId="482708B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Участники обмена при осуществлении переводов денежных средств с использованием сервиса быстрых платежей (далее - участники СБП) должны размещать объекты информационной инфраструктуры, используемые при осуществлении переводов денежных средств с использованием сервиса быстрых платежей, в выделенных (отдельных) сегментах (группах сегментов) вычислительных сетей.</w:t>
      </w:r>
    </w:p>
    <w:p w14:paraId="1C858B5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объектов информационной инфраструктуры в пределах выделенного сегмента (группы сегментов) вычислительных сетей участники СБП должны применять меры защиты информации, реализующие стандартный уровень (уровень 2) защиты информации, определенный ГОСТ Р 57580.1-2017.</w:t>
      </w:r>
    </w:p>
    <w:p w14:paraId="4A3FCAB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Операционный центр, платежный клиринговый центр другой платежной системы при предоставлении операционных услуг и услуг платежного клиринга при переводе денежных средств с использованием сервиса быстрых платежей (далее - ОПКЦ) должен размещать объекты информационной инфраструктуры, используемые при предоставлении операционных услуг и услуг платежного клиринга участникам СБП, в выделенных (отдельных) сегментах (группах сегментов) вычислительных сетей.</w:t>
      </w:r>
    </w:p>
    <w:p w14:paraId="0C51CD1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объектов информационной инфраструктуры в пределах выделенного сегмента (группы сегментов) ОПКЦ должен применять меры защиты информации, реализующие усиленный уровень (уровень 1) защиты информации, определенный ГОСТ Р 57580.1-2017.</w:t>
      </w:r>
    </w:p>
    <w:p w14:paraId="3934CA2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Документы участников ССНП, участников СБП и ОГЖЦ, определяющие порядок обеспечения защиты информации при осуществлении переводов денежных средств (далее - документы), должны определять состав и порядок применения организационных мер защиты информации и состав и порядок использования технических средств защиты информации.</w:t>
      </w:r>
    </w:p>
    <w:p w14:paraId="393D521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6.1. Документы должны приниматься в рамках следующих процессов (направлений) защиты информации, определенных ГОСТ Р 57580.1-2017:</w:t>
      </w:r>
    </w:p>
    <w:p w14:paraId="00829D6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защиты информации при управлении доступом;</w:t>
      </w:r>
    </w:p>
    <w:p w14:paraId="2DDD9E5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защиты вычислительных сетей;</w:t>
      </w:r>
    </w:p>
    <w:p w14:paraId="2A0F1C6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целостности и защищенности информационной инфраструктуры;</w:t>
      </w:r>
    </w:p>
    <w:p w14:paraId="20C0BF3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защита от вредоносного кода;</w:t>
      </w:r>
    </w:p>
    <w:p w14:paraId="1D74A0D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предотвращение утечек информации;</w:t>
      </w:r>
    </w:p>
    <w:p w14:paraId="1E4B6A5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управление инцидентами защиты информации;</w:t>
      </w:r>
    </w:p>
    <w:p w14:paraId="4E3AF14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защита среды виртуализации;</w:t>
      </w:r>
    </w:p>
    <w:p w14:paraId="4646B09B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защита информации при осуществлении удаленного логического доступа с использованием мобильных (переносных) устройств.</w:t>
      </w:r>
    </w:p>
    <w:p w14:paraId="20F205E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6.2. Документы должны содержать информацию, определяющую:</w:t>
      </w:r>
    </w:p>
    <w:p w14:paraId="7FD8148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технологии подготовки, обработки, передачи и хранения электронных сообщений и защищаемой информации на объектах информационной инфраструктуры;</w:t>
      </w:r>
    </w:p>
    <w:p w14:paraId="1F97603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 - СКЗИ) и управления ключевой информацией СКЗИ;</w:t>
      </w:r>
    </w:p>
    <w:p w14:paraId="0D52350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 действий, направленных на обеспечение непрерывности и (или) восстановление деятельности, связанной с осуществлением переводов денежных средств;</w:t>
      </w:r>
    </w:p>
    <w:p w14:paraId="25C85536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лиц, допущенных к работе со СКЗИ;</w:t>
      </w:r>
    </w:p>
    <w:p w14:paraId="1179B70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лиц, ответственных за обеспечение функционирования и безопасности СКЗИ (ответственный пользователь СКЗИ);</w:t>
      </w:r>
    </w:p>
    <w:p w14:paraId="056F938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лиц, обладающих правами по управлению криптографическими ключами, в том числе ответственных за формирование криптографических ключей и обеспечение безопасности криптографических ключей.</w:t>
      </w:r>
    </w:p>
    <w:p w14:paraId="247AC7C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Защита информации участниками ССНП, участниками СБП и ОПКЦ с помощью СКЗИ должна обеспечиваться в соответствии 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Федеральной службы безопасности Российской Федерации от 9 февраля 2005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 66 "Об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ПКЗ-2005)", зарегистрированным Министерством юстиции Российской Федерации 3 марта 2005 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6382, 25 мая 2010 года N 17350, и технической документацией на СКЗИ.</w:t>
      </w:r>
    </w:p>
    <w:p w14:paraId="154E15A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Участники СБП должны обеспечить регистрацию информации, указанной в подпункте 2.6.3 пункта 2.6 Положения Банка России от 9 июня 2012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382-П и связанной с действиями клиентов участников СБП, в целях информирования Банка России обо всех случаях и (или) попытках осуществления переводов денежных средств без согласия клиентов в соответствии с главой 1 Указания Банка России от 8 октября 2018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4926-У "О форме и порядке направления операторами по переводу денежных средств, операторами платежных систем, операторами услуг платежной инфраструктуры в Банк России информации обо всех случаях и (или) попытках осуществления переводов денежных средств без согласия клиента и получения ими от Банка России информации, содержащейся в базе данных о случаях и попытках осуществления переводов денежных средств без согласия клиента, а также о порядке реализации операторами по переводу денежных средств, операторами платежных систем, операторами услуг платежной инфраструктуры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мероприятий по противодействию осуществлению переводов денежных средств без согласия клиента", зарегистрированным Министерством юстиции Российской Федерации 12 декабря 2018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52988 (далее - Указание Банка России от 8 октября 2018 года N 4926-У).</w:t>
      </w:r>
    </w:p>
    <w:p w14:paraId="6FA24A2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Формирование и подписание электронных сообщений участника ССНП и ОПКЦ осуществляются в информационной инфраструктуре (автоматизированной системе) участника ССНП и ОПКЦ.</w:t>
      </w:r>
    </w:p>
    <w:p w14:paraId="40040F9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Передача и прием электронных сообщений участника ССНП осуществляются с использованием автоматизированного рабочего места обмена электронными сообщениями с платежной системой Банка России.</w:t>
      </w:r>
    </w:p>
    <w:p w14:paraId="76D5ED2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Участники ССНП, участники СБП и ОПКЦ должны обеспечивать хранение входящих и исходящих электронных сообщений, подписанных электронной подписью, не менее пяти лет.</w:t>
      </w:r>
    </w:p>
    <w:p w14:paraId="07F7522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При обмене электронными сообщениями между Банком России и ОПКЦ, Банком России и участниками ССНП должна применяться электронная подпись, сертификат ключа проверки которой выдан Банком России.</w:t>
      </w:r>
    </w:p>
    <w:p w14:paraId="36174E2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обмене электронными сообщениями между ОПКЦ и участниками СБП должна применяться электронная подпись, сертификат проверки которой выдан ОПКЦ.</w:t>
      </w:r>
    </w:p>
    <w:p w14:paraId="371DF98C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Криптографические ключи, используемые при обмене электронными сообщениями между Банком России и участником ССНП, должны изготавливаться участником ССНП.</w:t>
      </w:r>
    </w:p>
    <w:p w14:paraId="13FB3F5C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Криптографические ключи, используемые при обмене электронными сообщениями между Банком России и ОПКЦ, должны изготавливаться ОПКЦ, если иное не предусмотрено договором о взаимодействии, заключаемым между Банком России и оператором внешней платежной системы в соответствии с частью 37 статьи 15 Федерального закона 27 июня 2011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161-ФЗ.</w:t>
      </w:r>
    </w:p>
    <w:p w14:paraId="28BA7B8C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Криптографические ключи, используемые при обмене электронными сообщениями между ОПКЦ и участником СБП, должны изготавливаться участником СБП, если иное не предусмотрено договором об оказании операционных услуг, услуг платежного клиринга при осуществлении перевода денежных средств с использованием сервиса быстрых платежей, заключенным между участником СБП и ОПКЦ в соответствии с частью 1 статьи 17, частью 1 статьи 18 Федерального закона от 27 июня 2011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161-ФЗ (далее - договор об оказании услуг между участником СБП и ОПКЦ).</w:t>
      </w:r>
    </w:p>
    <w:p w14:paraId="15227C8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Организационные меры и (или) технические средства защиты информации, используемые при обмене электронными сообщениями и другой информацией при осуществлении переводов денежных средств, применяются с учетом следующих требований.</w:t>
      </w:r>
    </w:p>
    <w:p w14:paraId="670F481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14.1. Участники СБП должны обеспечивать удостоверение электронной подписью электронных сообщений при их передаче между участниками СБП и клиентами участников СБП.</w:t>
      </w:r>
    </w:p>
    <w:p w14:paraId="504E65E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14.2. Участники СБП и ОПКЦ должны обеспечивать защиту электронных сообщений при передаче между участниками СБП и ОПКЦ:</w:t>
      </w:r>
    </w:p>
    <w:p w14:paraId="6AA892A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использованием усиленной электронной подписи для контроля целостности и подтверждения подлинности электронных сообщений, состав которых определен договором об оказании услуг между участником СБП и ОПКЦ;</w:t>
      </w:r>
    </w:p>
    <w:p w14:paraId="600E156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шифрованием электронных сообщений на прикладном уровне в соответствии с эталонной моделью взаимосвязи открытых систем, определенной в ГОСТ Р ИСО/МЭК 7498-1-99 "Информационная технология. Взаимосвязь открытых систем. Базовая эталонная модель. Часть 1. Базовая модель", утвержденным постановлением Государственного комитета Российской Федерации по стандартизации и метрологии от 18 марта 1999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78 (М., ИПК Издательство стандартов, 1999) (далее - ГОСТ Р ИСО/МЭК 7498-1-99), с использованием СКЗИ, прошедших процедуру оценки соответствия требованиям, установленным федеральным органом исполнительной власти в области обеспечения безопасности при осуществлении регулирования в соответствии с пунктом "ш" статьи 13 Федерального закона от 3 апреля 1995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40-ФЗ "О федеральной службе безопасности" (Собрание законодательства Российской Федерации, 1995,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1269; 2000,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4537; 2002,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1794;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3033; 2003,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156;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2700; 2004,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3607; 2005,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763; 2006,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1779;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3452; 2007,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3348;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4008;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6241; 2008,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6235; 2010,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4207;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5297; 2011,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4282; 2011,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4589;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7366; 2013,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2324;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3477;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6165;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6689; 2014,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2335;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3365;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3384;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7557; 2016,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88;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4160,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4238;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4558; 2017,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3596; 2018,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1591) (далее - требования, установленные федеральным органом исполнительной власти в области обеспечения безопасности);</w:t>
      </w:r>
    </w:p>
    <w:p w14:paraId="17583EB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применением средств защиты информации, реализующих двухстороннюю аутентификацию и шифрование информации на уровне звена данных или сетевом уровне, в соответствии с эталонной моделью взаимосвязи открытых систем, определенной в ГОСТ Р ИСО/МЭК 7498-1-99, прошедших процедуру оценки соответствия требованиям, установленным федеральным органом исполнительной власти в области обеспечения безопасности.</w:t>
      </w:r>
    </w:p>
    <w:p w14:paraId="2F6A45E6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14.3. Участники ССНП должны обеспечивать защиту электронных сообщений при их передаче в Банк России:</w:t>
      </w:r>
    </w:p>
    <w:p w14:paraId="1B085F7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формированием электронных сообщений и контролем реквизитов электронных сообщений в информационной инфраструктуре участника ССНП в соответствии с </w:t>
      </w:r>
      <w:hyperlink r:id="rId7" w:anchor="1001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Правил материально-технического обеспечения формирования электронных сообщений и контроля реквизитов электронных сообщений в информационной инфраструктуре участника ССНП, а также правил материально-технического обеспечения обработки электронных сообщений и контроля реквизитов электронных сообщений в информационной инфраструктуре ОПКЦ, установленных приложением к настоящему Положению в соответствии с частью пятой статьи 5 Федерального закона "О банках и банковской деятельности" (в редакции Федерального закона от 3 февраля 1996 года N 17-ФЗ) (Ведомости Съезда народных депутатов РСФСР и Верховного Совета РСФСР, 1990,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357; Собрание законодательства Российской Федерации, 1996,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492; 1998,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3829; 1999,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3459,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3469; 2001,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2586;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3424; 2002,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1093; 2003, N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D110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2700;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4855;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5033,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5037; 2004,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ст.2711;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3233; 2005,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3117; 2006,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636;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2061;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3439;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5497; 2007,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2563;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4011;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4845;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5425;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6238; 2008,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895; 2009,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1043;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2153;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2776;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3739;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5731;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6428; 2010,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775;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3432;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4012;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4193;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6028; 2011,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905;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3873,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3880;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4291;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6730;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7069;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7351; 2012,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3588;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4333;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6954;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7605,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7607; 2013,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1076;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2317,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2329;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3207;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3438,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3477;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4084; N</w:t>
      </w:r>
      <w:r w:rsidR="008600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5036;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6336;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6683,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6699; 2014,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563;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2311;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3379,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3395;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4219;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5317,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5320;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6144,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6154;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6912;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7543; 2015,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2473;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3947,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3950;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4355,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4357,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4385;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7243; 2016,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2050;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3860;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4294,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4295; 2017,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000;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2661,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2669;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3596;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4456;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4754,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4761,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4830; 2018,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66;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2560,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2576;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3043;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3400;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3950;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4852;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5100,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5115;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7524;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53, ст.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8440) (далее - Правила материально-технического обеспечения);</w:t>
      </w:r>
    </w:p>
    <w:p w14:paraId="2B43736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использованием двух усиленных электронных подписей - электронной подписи, применяемой в контуре формирования электронных сообщений, и электронной подписи, применяемой в контуре контроля реквизитов электронных сообщений, - для контроля целостности и подтверждения подлинности электронных сообщений;</w:t>
      </w:r>
    </w:p>
    <w:p w14:paraId="55AF3D7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применением третьего варианта защиты, предусмотренного Альбомом унифицированных форматов электронных банковских сообщений, размещенном на официальном сайте Банка России в информационно-телекоммуникационной сети "Интернет", который ведется Банком России в соответствии с пунктом 5.2 Положения Банка России от 6 июля 2017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595-П;</w:t>
      </w:r>
    </w:p>
    <w:p w14:paraId="3ED4D7A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шифрованием электронных сообщений на прикладном уровне в соответствии с эталонной моделью взаимосвязи открытых систем, определенной в ГОСТ Р ИСО/МЭК 7498-1-99, с использованием СКЗИ, прошедших процедуру оценки соответствия требованиям, установленным федеральным органом исполнительной власти в области обеспечения безопасности;</w:t>
      </w:r>
    </w:p>
    <w:p w14:paraId="066276C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применением средств защиты информации, реализующих двухстороннюю аутентификацию и шифрование информации на уровне звена данных или сетевом уровне, в соответствии с эталонной моделью взаимосвязи открытых систем, определенной в ГОСТ Р ИСО/МЭК 7498-1-99, прошедших процедуру оценки соответствия требованиям, установленным федеральным органом исполнительной власти в области обеспечения безопасности.</w:t>
      </w:r>
    </w:p>
    <w:p w14:paraId="0A73072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14.4. ОПКЦ должен обеспечивать защиту электронных сообщений при их передаче в Банк России:</w:t>
      </w:r>
    </w:p>
    <w:p w14:paraId="79E66E1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обработкой электронных сообщений и контролем реквизитов электронных сообщений в информационной инфраструктуре ОПКЦ в соответствии с </w:t>
      </w:r>
      <w:hyperlink r:id="rId8" w:anchor="1002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2</w:t>
        </w:r>
      </w:hyperlink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Правил материально-технического обеспечения;</w:t>
      </w:r>
    </w:p>
    <w:p w14:paraId="181A12B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использованием двух усиленных электронных подписей - электронной подписи, применяемой в контуре обработки электронных сообщений, и электронной подписи, применяемой в контуре контроля реквизитов электронных сообщений, - для контроля целостности и подтверждения подлинности электронных сообщений;</w:t>
      </w:r>
    </w:p>
    <w:p w14:paraId="3B4BDBE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шифрованием электронных сообщений на прикладном уровне в соответствии с эталонной моделью взаимосвязи открытых систем, определенной в ГОСТ Р ИСО/МЭК 7498-1-99, с использованием СКЗИ, прошедших процедуру оценки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соответствия требованиям, установленным федеральным органом исполнительной власти в области обеспечения безопасности;</w:t>
      </w:r>
    </w:p>
    <w:p w14:paraId="6840115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применением средств защиты информации, реализующих двухстороннюю аутентификацию и шифрование информации на уровне звена данных или сетевом уровне, в соответствии с эталонной моделью взаимосвязи открытых систем, определенной в ГОСТ Р ИСО/МЭК 7498-1-99, прошедших процедуру оценки соответствия требованиям, установленным федеральным органом исполнительной власти в области обеспечения безопасности.</w:t>
      </w:r>
    </w:p>
    <w:p w14:paraId="7CE55FE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Применение участниками СБП мер защиты информации, а также ограничений по параметрам операций по осуществлению переводов денежных средств, устанавливаемых в соответствии с подпунктом 2.8.3 пункта 2.8 Положения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382-П, должно обеспечивать значение показателя, характеризующего уровень переводов денежных средств без согласия клиента при осуществлении переводов денежных средств с использованием сервиса быстрых платежей, на ежеквартальной основе не более 0,005 процента.</w:t>
      </w:r>
    </w:p>
    <w:p w14:paraId="069D67C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Значение показателя, характеризующего уровень переводов денежных средств без согласия клиента при осуществлении переводов денежных средств с использованием сервиса быстрых платежей, должно рассчитываться как отношение суммы денежных средств, в отношении которых получены уведомления от клиентов участников СБП о списании денежных средств с их банковских счетов без их согласия за оцениваемый квартал, за исключением случаев, предусмотренных законодательством Российской Федерации, к общей сумме денежных средств, списанных с банковских счетов клиентов участников СБП посредством осуществления перевода денежных средств с использованием сервиса быстрых платежей.</w:t>
      </w:r>
    </w:p>
    <w:p w14:paraId="5FA31A2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ОПКЦ при предоставлении операционных услуг и услуг платежного клиринга должен обеспечивать реализацию мероприятий по достижению показателя доступности сервиса быстрых платежей не ниже 99,9 процента с учетом времени проведения плановых работ по поддержке работоспособности автоматизированных систем, обеспечивающих функционирование сервиса быстрых платежей, и не ниже 99,99 процента без учета плановых работ.</w:t>
      </w:r>
    </w:p>
    <w:p w14:paraId="0F2E3FDB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В рамках реализации мер по противодействию осуществлению переводов денежных средств без согласия клиента при осуществлении переводов денежных средств с использованием сервиса быстрых платежей ОПКЦ должен осуществлять:</w:t>
      </w:r>
    </w:p>
    <w:p w14:paraId="7C545C3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 операций, соответствующих признакам осуществления переводов денежных средств без согласия клиента, установленным Банком России и размещенным на его официальном сайте в информационно-телекоммуникационной сети "Интернет" в соответствии с частью 5.1 статьи 8 Федерального закона от 27 июня 2011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161-ФЗ (далее - признаки осуществления переводов денежных средств без согласия клиента), при осуществлении переводов денежных средств с использованием сервиса быстрых платежей, в том числе с использованием информации, получаемой от участников СБП;</w:t>
      </w:r>
    </w:p>
    <w:p w14:paraId="4B61C76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приостановление процедуры приема к исполнению и исполнения распоряжений о переводе денежных средств в рамках выявленной операции, соответствующей признакам осуществления переводов денежных средств без согласия клиента, при осуществлении переводов денежных средств с использованием сервиса быстрых платежей;</w:t>
      </w:r>
    </w:p>
    <w:p w14:paraId="012A863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незамедлительное уведомление участников СБП о выявлении операций, соответствующих признакам осуществления переводов денежных средств без согласия клиента, при осуществлении переводов денежных средств с использованием сервиса быстрых платежей;</w:t>
      </w:r>
    </w:p>
    <w:p w14:paraId="576BCBB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продолжение процедур приема к исполнению и исполнения распоряжений о переводе денежных средств при получении дальнейших электронных сообщений по приостанавливаемой операции от участника СБП в течение времени, установленного договором об оказании услуг между участником СБП и ОПКЦ;</w:t>
      </w:r>
    </w:p>
    <w:p w14:paraId="5D73F0B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прекращение процедур приема к исполнению и исполнения распоряжений о переводе денежных средств при неполучении дальнейших электронных сообщений по приостанавливаемой операции от участника СБП в течение времени, установленного договором об оказании услуг между участником СБП и ОПКЦ.</w:t>
      </w:r>
    </w:p>
    <w:p w14:paraId="43E7A19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Для целей анализа обеспечения в платежной системе Банка России защиты информации при осуществлении переводов денежных средств участники ССНП, участники СБП и ОПКЦ должны информировать Банк России о нарушениях требований к обеспечению защиты информации при осуществлении переводов денежных средств, в том числе которые привели или могут привести к осуществлению переводов денежных средств без согласия клиента или к неоказанию услуг по переводу денежных средств, в рамках реализации требований, установленных:</w:t>
      </w:r>
    </w:p>
    <w:p w14:paraId="282EB4E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2.13.1 Положения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382-П;</w:t>
      </w:r>
    </w:p>
    <w:p w14:paraId="22E00C9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Указанием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2831-У "Об отчетности по обеспечению защиты информации при осуществлении переводов денежных средств операторов платежных систем, операторов услуг платежной инфраструктуры, операторов по переводу денежных средств", зарегистрированным Министерством юстиции Российской Федерации 14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24573, 24 июля 2013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29142, 1 июня 2018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№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51248 (далее - Указание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 2831-У);</w:t>
      </w:r>
    </w:p>
    <w:p w14:paraId="084EE50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Указанием Банка России от 8 октября 2018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4926-У.</w:t>
      </w:r>
    </w:p>
    <w:p w14:paraId="55B5FD6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В случае выявления инцидента, связанного с несоблюдением требований к защите информации, который привел или может привести к осуществлению перевода денежных средств без согласия участника ССНП, участник ССНП вправе направить в Банк России обращение о приостановлении обмена электронными сообщениями.</w:t>
      </w:r>
    </w:p>
    <w:p w14:paraId="41C78F3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получении обращения о приостановлении обмена электронными сообщениями Банк России должен приостанавливать обмен электронными сообщениями и аннулировать электронные сообщения, ранее поступившие от участника ССНП, до получения от участника ССНП обращения об отмене приостановления обмена электронными сообщениями.</w:t>
      </w:r>
    </w:p>
    <w:p w14:paraId="1FCF1F2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результатам устранения причин инцидента участник ССНП должен направлять обращение об отмене приостановления обмена электронными сообщениями, при получении которого Банк России снимает ранее введенное ограничение для возобновления обмена электронными сообщениями с участником ССНП.</w:t>
      </w:r>
    </w:p>
    <w:p w14:paraId="67EB0F0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19.1. Обращения о приостановлении обмена электронными сообщениями в случае выявления инцидента, связанного с несоблюдением требований к защите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информации, и обращения об отмене приостановления обмена электронными сообщениями (далее при совместном упоминании - обращения) должны направляться с использованием технической инфраструктуры (автоматизированной системы) Банка России.</w:t>
      </w:r>
    </w:p>
    <w:p w14:paraId="3FAB9286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невозможности направления обращения с использованием технической инфраструктуры (автоматизированной системы) Банка России обращение должно направляться с использованием резервного способа взаимодействия.</w:t>
      </w:r>
    </w:p>
    <w:p w14:paraId="3420ED8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возобновлении возможности направления обращений с использованием технической инфраструктуры (автоматизированной системы) Банка России участник ССНП должен повторно направить обращение с использованием технической инфраструктуры (автоматизированной системы) Банка России.</w:t>
      </w:r>
    </w:p>
    <w:p w14:paraId="6E444AF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19.2. Информация о технической инфраструктуре (автоматизированной системе) Банка России, а также о резервном способе взаимодействия участника ССНП с Банком России, с помощью которого направляются обращения, размещается на официальном сайте Банка России в информационно-коммуникационной сети "Интернет".</w:t>
      </w:r>
    </w:p>
    <w:p w14:paraId="4CFE105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19.3. В целях направления обращений участник ССНП должен обеспечить назначение должностных лиц, уполномоченных на направление и (или) подписание обращений (далее - уполномоченное лицо), и направление в Банк России информации об уполномоченных лицах, в том числе фамилий, имен, отчеств (при наличии), наименований должностей, контактных номеров телефонов, при наличии - номеров факсимильного аппарата, адресов электронной почты.</w:t>
      </w:r>
    </w:p>
    <w:p w14:paraId="49C6F08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19.4. Одновременно с направлением обращений участник ССНП должен направить копию обращения о приостановлении обмена электронными сообщениями или об отмене приостановления обмена электронными сообщениями, подписанного уполномоченным лицом и заверенного печатью участника ССНП, по факсимильной связи либо по электронной почте в соответствии с контактными данными, размещенными на официальном сайте Банка России в информационно-телекоммуникационной сети "Интернет".</w:t>
      </w:r>
    </w:p>
    <w:p w14:paraId="7006CAC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позднее одного рабочего дня после дня направления обращения участник ССНП должен направить оригинал обращения о приостановлении обмена электронными сообщениями или об отмене приостановления обмена электронными сообщениями на бумажном носителе по адресу, размещенному на официальном сайте Банка России в информационно-телекоммуникационной сети "Интернет".</w:t>
      </w:r>
    </w:p>
    <w:p w14:paraId="4F9E1CAB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19.5. При получении обращений с использованием технической инфраструктуры (автоматизированной системы) Банка России Банк России должен обеспечивать контроль целостности и подтверждение подлинности содержащейся в них информации.</w:t>
      </w:r>
    </w:p>
    <w:p w14:paraId="7FBEA70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получении обращений с использованием резервного способа взаимодействия Банк России должен обеспечивать проверку соответствия реквизитов обращений информации, указанной в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9" w:anchor="193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19.3</w:t>
        </w:r>
      </w:hyperlink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пункта.</w:t>
      </w:r>
    </w:p>
    <w:p w14:paraId="5019DE3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отрицательного результата контроля целостности и подтверждения подлинности обращений, проверки соответствия реквизитов обращений Банк России не должен принимать обращения к исполнению, о чем уведомляется участник ССНП.</w:t>
      </w:r>
    </w:p>
    <w:p w14:paraId="0B6F437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Уведомление участника ССНП осуществляется с использованием технической инфраструктуры (автоматизированной системы) Банка России.</w:t>
      </w:r>
    </w:p>
    <w:p w14:paraId="467D0C3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невозможности уведомления участника ССНП с использованием технической инфраструктуры (автоматизированной системы) Банка России уведомление осуществляется с использованием резервного способа взаимодействия.</w:t>
      </w:r>
    </w:p>
    <w:p w14:paraId="464B8DB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Для оценки участниками ССНП, участниками СБП, являющимися субъектами, на которых распространяются требования Положения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382-П, и ОПКЦ выполнения ими требований к обеспечению защиты информации при осуществлении переводов денежных средств (далее - оценка соответствия) устанавливаются следующие требования:</w:t>
      </w:r>
    </w:p>
    <w:p w14:paraId="5B87EA7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соответствия должна проводиться в пределах выделенных сегментов (группы сегментов) вычислительных сетей, указанных в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0" w:anchor="3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пунктах 3-5</w:t>
        </w:r>
      </w:hyperlink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Положения;</w:t>
      </w:r>
    </w:p>
    <w:p w14:paraId="08399F6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соответствия должна проводиться в соответствии с положениями национального стандарта Российской Федерации ГОСТ Р 57580.2-2018 "Безопасность финансовых (банковских) операций. Защита информации финансовых организаций. Методика оценки соответствия", утвержденного приказом Федерального агентства по техническому регулированию и метрологии от 28 марта 2018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156-ст "Об утверждении национального стандарта Российской Федерации" (М, ФГУП "</w:t>
      </w:r>
      <w:proofErr w:type="spellStart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Стандартинформ</w:t>
      </w:r>
      <w:proofErr w:type="spellEnd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", 2017) (далее - ГОСТ Р 57580.2-2018);</w:t>
      </w:r>
    </w:p>
    <w:p w14:paraId="25A6298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соответствия должна проводиться не реже одного раза в два года, а также по требованию Банка России.</w:t>
      </w:r>
    </w:p>
    <w:p w14:paraId="7293454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Участники ССНП, участники СБП и ОПКЦ должны обеспечивать для объектов информационной инфраструктуры, размещенных в отдельных выделенных сегментах (группах сегментов) вычислительных сетей, указанных в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1" w:anchor="3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пунктах 3-5</w:t>
        </w:r>
      </w:hyperlink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Положения, уровень соответствия не ниже четвертого согласно ГОСТ Р 57580.2-2018.</w:t>
      </w:r>
    </w:p>
    <w:p w14:paraId="16D69C7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Для анализа обеспечения в платежной системе Банка России защиты информации при осуществлении переводов денежных средств участники ССНП, участники СБП, являющиеся субъектами, на которых распространяются требования Указания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№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2831-У, и ОПКЦ должны предоставлять результаты оценки соответствия согласно требованиям к содержанию, форме и периодичности представления информации, установленным Указанием Банка России от 9 июня 2012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N</w:t>
      </w:r>
      <w:r w:rsidR="00B63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2831-У.</w:t>
      </w:r>
    </w:p>
    <w:p w14:paraId="423CBCD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Контроль за соблюдением требований к обеспечению защиты информации при осуществлении переводов денежных средств Банк России осуществляет в соответствии с главой 3 Положения Банка России от 9 июня 2012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 №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382-П.</w:t>
      </w:r>
    </w:p>
    <w:p w14:paraId="2F24A459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Настоящее Положение вступает в силу по истечении 10 дней после дня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14:paraId="2BC1BEED" w14:textId="77777777" w:rsidR="00264CE5" w:rsidRPr="00264CE5" w:rsidRDefault="00342737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2" w:anchor="9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Пункты 9</w:t>
        </w:r>
      </w:hyperlink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3" w:anchor="10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10</w:t>
        </w:r>
      </w:hyperlink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Положения вступают в силу с 28 июня 2019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года.</w:t>
      </w:r>
    </w:p>
    <w:p w14:paraId="42C666B6" w14:textId="77777777" w:rsidR="00264CE5" w:rsidRPr="00264CE5" w:rsidRDefault="00342737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4" w:anchor="1445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 пятый подпункта 14.4 пункта 14</w:t>
        </w:r>
      </w:hyperlink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Положения вступает в силу с 1 июля 2020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года.</w:t>
      </w:r>
    </w:p>
    <w:p w14:paraId="505F1B13" w14:textId="77777777" w:rsidR="00264CE5" w:rsidRPr="00264CE5" w:rsidRDefault="00342737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5" w:anchor="3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Пункты 3</w:t>
        </w:r>
      </w:hyperlink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6" w:anchor="4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4</w:t>
        </w:r>
      </w:hyperlink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7" w:anchor="61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 6.1 пункта 6</w:t>
        </w:r>
      </w:hyperlink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8" w:anchor="1424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 четвертый подпункта 14.2</w:t>
        </w:r>
      </w:hyperlink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19" w:anchor="1436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 шестой подпункта 14.3 пункта 14</w:t>
        </w:r>
      </w:hyperlink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hyperlink r:id="rId20" w:anchor="20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абзацы первый - четвертый пункта 20</w:t>
        </w:r>
      </w:hyperlink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Положения вступают в силу с 1 июля 2021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года.</w:t>
      </w:r>
    </w:p>
    <w:p w14:paraId="6B9E8243" w14:textId="77777777" w:rsidR="00264CE5" w:rsidRPr="00264CE5" w:rsidRDefault="00342737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1" w:anchor="205" w:history="1">
        <w:r w:rsidR="00264CE5"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 пятый пункта 20</w:t>
        </w:r>
      </w:hyperlink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Положения вступает в силу с 1 января 2023</w:t>
      </w:r>
      <w:r w:rsid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264CE5"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года.</w:t>
      </w:r>
    </w:p>
    <w:p w14:paraId="3AF846CA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 дня вступления в силу настоящего Положения признать утратившим силу Положение Банка России от 24 августа 2016 года N 552-П "О требованиях к защите информации в платежной системе Банка России", зарегистрированное Министерством юстиции Российской Федерации 6 декабря 2016 года N 44582.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22"/>
      </w:tblGrid>
      <w:tr w:rsidR="00264CE5" w:rsidRPr="00264CE5" w14:paraId="465BFA4A" w14:textId="77777777" w:rsidTr="00264CE5">
        <w:tc>
          <w:tcPr>
            <w:tcW w:w="2500" w:type="pct"/>
            <w:hideMark/>
          </w:tcPr>
          <w:p w14:paraId="61C0965D" w14:textId="77777777" w:rsidR="00264CE5" w:rsidRPr="00264CE5" w:rsidRDefault="00264CE5" w:rsidP="00264CE5">
            <w:pPr>
              <w:rPr>
                <w:rFonts w:eastAsia="Times New Roman"/>
                <w:lang w:eastAsia="ru-RU"/>
              </w:rPr>
            </w:pPr>
            <w:r w:rsidRPr="00264CE5">
              <w:rPr>
                <w:rFonts w:eastAsia="Times New Roman"/>
                <w:lang w:eastAsia="ru-RU"/>
              </w:rPr>
              <w:t>Председатель </w:t>
            </w:r>
            <w:r w:rsidRPr="00264CE5">
              <w:rPr>
                <w:rFonts w:eastAsia="Times New Roman"/>
                <w:lang w:eastAsia="ru-RU"/>
              </w:rPr>
              <w:br/>
              <w:t>Центрального банка</w:t>
            </w:r>
            <w:r w:rsidRPr="00264CE5">
              <w:rPr>
                <w:rFonts w:eastAsia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14:paraId="3455459A" w14:textId="77777777" w:rsidR="00264CE5" w:rsidRPr="00264CE5" w:rsidRDefault="00264CE5" w:rsidP="00264CE5">
            <w:pPr>
              <w:rPr>
                <w:rFonts w:eastAsia="Times New Roman"/>
                <w:lang w:eastAsia="ru-RU"/>
              </w:rPr>
            </w:pPr>
            <w:r w:rsidRPr="00264CE5">
              <w:rPr>
                <w:rFonts w:eastAsia="Times New Roman"/>
                <w:lang w:eastAsia="ru-RU"/>
              </w:rPr>
              <w:t>Э.С. Набиуллина</w:t>
            </w:r>
          </w:p>
        </w:tc>
      </w:tr>
    </w:tbl>
    <w:p w14:paraId="519DBE7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21 марта 2019 г.</w:t>
      </w:r>
    </w:p>
    <w:p w14:paraId="2BA02C4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 54109</w:t>
      </w:r>
    </w:p>
    <w:p w14:paraId="3ACE715C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2" w:anchor="0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Положению</w:t>
        </w:r>
      </w:hyperlink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Банка России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9 января 2019 года N 672-П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"О требованиях к защите информации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платежной системе Банка России"</w:t>
      </w:r>
    </w:p>
    <w:p w14:paraId="1CDFB5A9" w14:textId="77777777" w:rsidR="00264CE5" w:rsidRPr="00264CE5" w:rsidRDefault="00264CE5" w:rsidP="00264CE5">
      <w:pPr>
        <w:numPr>
          <w:ilvl w:val="0"/>
          <w:numId w:val="7"/>
        </w:numPr>
        <w:shd w:val="clear" w:color="auto" w:fill="FFFFFF"/>
        <w:tabs>
          <w:tab w:val="clear" w:pos="1440"/>
        </w:tabs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64C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Правила </w:t>
      </w:r>
      <w:r w:rsidRPr="00264CE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материально-технического обеспечения формирования электронных сообщений и контроля реквизитов электронных сообщений в информационной инфраструктуре участника ССНП, а также правила материально-технического обеспечения обработки электронных сообщений и контроля реквизитов электронных сообщений в информационной инфраструктуре ОПКЦ</w:t>
      </w:r>
    </w:p>
    <w:p w14:paraId="4D48C2B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Формирование электронных сообщений и контроль реквизитов электронных сообщений в информационной инфраструктуре участника ССНП должны осуществляться с учетом следующего.</w:t>
      </w:r>
    </w:p>
    <w:p w14:paraId="7B62309B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Контур формирования электронных сообщений и контур контроля реквизитов электронных сообщений в информационной инфраструктуре участника ССНП должны быть реализованы с использованием разных рабочих мест, разных криптографических ключей и с привлечением отдельных работников для каждого из контуров.</w:t>
      </w:r>
    </w:p>
    <w:p w14:paraId="00EF938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участника ССНП должны быть размещены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оформляется документально и согласовывается со службой информационной безопасности участников ССНП.</w:t>
      </w:r>
    </w:p>
    <w:p w14:paraId="01FABCF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1.3. В контуре формирования электронных сообщений на основе первичного документа в бумажной или электронной форме или входящего электронного сообщения должны осуществляться:</w:t>
      </w:r>
    </w:p>
    <w:p w14:paraId="0B30284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исходящего электронного сообщения, предназначенного для направления в платежную систему Банка России;</w:t>
      </w:r>
    </w:p>
    <w:p w14:paraId="5186C56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реквизитов исходящего электронного сообщения, предназначенного для направления в платежную систему Банка России;</w:t>
      </w:r>
    </w:p>
    <w:p w14:paraId="3A50178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подписание исходящего электронного сообщения, предназначенного для направления в платежную систему Банка России, электронной подписью, применяемой в контуре формирования электронных сообщений, при положительном результате контроля реквизитов, указанного в </w:t>
      </w:r>
      <w:hyperlink r:id="rId23" w:anchor="10133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третьем</w:t>
        </w:r>
      </w:hyperlink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подпункта;</w:t>
      </w:r>
    </w:p>
    <w:p w14:paraId="2DA329E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исходящего электронного сообщения, предназначенного для направления в платежную систему Банка России, в контур контроля реквизитов электронных сообщений.</w:t>
      </w:r>
    </w:p>
    <w:p w14:paraId="678B3B9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В контуре контроля реквизитов электронных сообщений должны осуществляться:</w:t>
      </w:r>
    </w:p>
    <w:p w14:paraId="6378E97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реквизитов исходящего электронного сообщения, предназначенного для направления в платежную систему Банка России, на соответствие реквизитам первичного документа в бумажной или электронной форме или входящего электронного сообщения;</w:t>
      </w:r>
    </w:p>
    <w:p w14:paraId="30A05DA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на отсутствие дублирования исходящих электронных сообщений;</w:t>
      </w:r>
    </w:p>
    <w:p w14:paraId="1334D19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подписание исходящего электронного сообщения, предназначенного для направления в платежную систему Банка России, электронной подписью, применяемой в контуре контроля реквизитов электронных сообщений, при положительном результате контроля реквизитов, указанного в </w:t>
      </w:r>
      <w:hyperlink r:id="rId24" w:anchor="10142" w:history="1">
        <w:r w:rsidRPr="00264CE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</w:t>
        </w:r>
      </w:hyperlink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подпункта.</w:t>
      </w:r>
    </w:p>
    <w:p w14:paraId="6C58669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Обработка электронных сообщений и контроль реквизитов электронных сообщений в информационной инфраструктуре ОГЖЦ должны осуществляться с учетом следующего.</w:t>
      </w:r>
    </w:p>
    <w:p w14:paraId="1665850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Контур обработки электронных сообщений и контур контроля реквизитов электронных сообщений в информационной инфраструктуре ОПКЦ должны быть реализованы с использованием разных рабочих мест, разных криптографических ключей и с привлечением отдельных работников для каждого из контуров.</w:t>
      </w:r>
    </w:p>
    <w:p w14:paraId="4FAE32D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Объекты информационной инфраструктуры контура обработки электронных сообщений и контура контроля реквизитов электронных сообщений в информационной инфраструктуре ОПКЦ должны быть размещены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оформляется документально и согласовывается со службой информационной безопасности ОПКЦ.</w:t>
      </w:r>
    </w:p>
    <w:p w14:paraId="68E14A4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2.3. Направление электронных сообщений должно осуществляться таким образом, чтобы все входящие электронные сообщения поступали в контур обработки электронных сообщений только из контура контроля реквизитов электронных </w:t>
      </w: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сообщений, а все исходящие электронные сообщения из контура обработки электронных сообщений передавались только в контур контроля реквизитов электронных сообщений.</w:t>
      </w:r>
    </w:p>
    <w:p w14:paraId="25EA8BE3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В контуре контроля реквизитов электронных сообщений должны осуществляться:</w:t>
      </w:r>
    </w:p>
    <w:p w14:paraId="32054900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входящего электронного сообщения;</w:t>
      </w:r>
    </w:p>
    <w:p w14:paraId="0FCE4E0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электронной подписи входящего электронного сообщения;</w:t>
      </w:r>
    </w:p>
    <w:p w14:paraId="78954CBE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структурный и логический контроль входящего электронного сообщения, в том числе проверка соответствия реквизитов (данных) входящего электронного сообщения;</w:t>
      </w:r>
    </w:p>
    <w:p w14:paraId="12AE172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на отсутствие дублирования входящих электронных сообщений;</w:t>
      </w:r>
    </w:p>
    <w:p w14:paraId="3BBBE07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помещение в эталонную базу входящих электронных сообщений (далее - ЭБВЭС) входящих электронных сообщений без снятия электронной подписи с целью осуществления контроля результатов обработки защищаемой информации в рамках процедуры выходного контроля.</w:t>
      </w:r>
    </w:p>
    <w:p w14:paraId="319EAA7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 электронных сообщений, подлежащих помещению в ЭБВЭС, определяется договором об оказании услуг между участником СБП и ОПКЦ.</w:t>
      </w:r>
    </w:p>
    <w:p w14:paraId="2EFD84E6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контуре обработки электронных сообщений должны осуществляться:</w:t>
      </w:r>
    </w:p>
    <w:p w14:paraId="4EE028D8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входящего электронного сообщения;</w:t>
      </w:r>
    </w:p>
    <w:p w14:paraId="088BD6A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электронной подписи входящего электронного сообщения;</w:t>
      </w:r>
    </w:p>
    <w:p w14:paraId="77B601D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структурный и логический контроль входящего электронного сообщения, в том числе проверка соответствия реквизитов (данных) входящего электронного сообщения;</w:t>
      </w:r>
    </w:p>
    <w:p w14:paraId="1C712152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информации, содержащейся во входящем электронном сообщении, и формирование исходящего электронного сообщения;</w:t>
      </w:r>
    </w:p>
    <w:p w14:paraId="3B1811A5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подписание исходящего электронного сообщения электронной подписью, применяемой в контуре обработки электронных сообщений;</w:t>
      </w:r>
    </w:p>
    <w:p w14:paraId="2569AC0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исходящего электронного сообщения, подписанного электронной подписью, применяемой в контуре обработки электронных сообщений, в контур контроля реквизитов электронных сообщений.</w:t>
      </w:r>
    </w:p>
    <w:p w14:paraId="61F94E26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2.6. В контуре контроля реквизитов электронных сообщений должны </w:t>
      </w:r>
      <w:proofErr w:type="gramStart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осуществляться :</w:t>
      </w:r>
      <w:proofErr w:type="gramEnd"/>
    </w:p>
    <w:p w14:paraId="3437FE31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в исходящем электронном сообщении электронной подписи, применяемой в контуре обработки электронных сообщений;</w:t>
      </w:r>
    </w:p>
    <w:p w14:paraId="631F7757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электронной подписи в электронных сообщениях, находящихся в ЭБВЭС, на основании которых было сформировано исходящее электронное сообщение;</w:t>
      </w:r>
    </w:p>
    <w:p w14:paraId="493220C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значений реквизитов исходящего электронного сообщения с электронными сообщениями, находящимися в ЭБВЭС, на основании которых был сформировано исходящее электронное сообщение;</w:t>
      </w:r>
    </w:p>
    <w:p w14:paraId="231FE91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на отсутствие дублирования исходящих электронных сообщений;</w:t>
      </w:r>
    </w:p>
    <w:p w14:paraId="1A3D70F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подписание исходящего электронного сообщения электронной подписью, применяемой в контуре контроля реквизитов электронных сообщений (не снимая электронную подпись, применяемую в контуре обработки).</w:t>
      </w:r>
    </w:p>
    <w:p w14:paraId="42249A1D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review"/>
      <w:bookmarkEnd w:id="2"/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Новые требования к защите информации в платежной системе Банка России распространяются:</w:t>
      </w:r>
    </w:p>
    <w:p w14:paraId="11391C36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участников платежной системы, которые пользуются сервисами срочного и несрочного переводов, быстрых платежей;</w:t>
      </w:r>
    </w:p>
    <w:p w14:paraId="56FBF6A4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операционный и клиринговый центры.</w:t>
      </w:r>
    </w:p>
    <w:p w14:paraId="1B31E62B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 учитывает законодательные поправки, которые были внесены летом 2018 г. для борьбы с хищением денежных средств, а также требования национального стандарта "Безопасность финансовых (банковских) операций. Защита информации финансовых организаций. Базовый состав организационных и технических мер".</w:t>
      </w:r>
    </w:p>
    <w:p w14:paraId="6457CB5F" w14:textId="77777777" w:rsidR="00264CE5" w:rsidRPr="00264CE5" w:rsidRDefault="00264CE5" w:rsidP="00264CE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64C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Положение вступает в силу через 10 дней после официального опубликования, за исключением норм с иными сроками вступления в силу.</w:t>
      </w:r>
    </w:p>
    <w:p w14:paraId="1721EDDB" w14:textId="77777777" w:rsidR="008E2DAD" w:rsidRDefault="00342737"/>
    <w:sectPr w:rsidR="008E2DAD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DB235" w14:textId="77777777" w:rsidR="00342737" w:rsidRDefault="00342737" w:rsidP="007D3782">
      <w:r>
        <w:separator/>
      </w:r>
    </w:p>
  </w:endnote>
  <w:endnote w:type="continuationSeparator" w:id="0">
    <w:p w14:paraId="1AA8A2DC" w14:textId="77777777" w:rsidR="00342737" w:rsidRDefault="00342737" w:rsidP="007D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353493"/>
      <w:docPartObj>
        <w:docPartGallery w:val="Page Numbers (Bottom of Page)"/>
        <w:docPartUnique/>
      </w:docPartObj>
    </w:sdtPr>
    <w:sdtContent>
      <w:p w14:paraId="44069A4D" w14:textId="0E0CB80D" w:rsidR="007D3782" w:rsidRDefault="007D3782" w:rsidP="007D37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C0BA" w14:textId="77777777" w:rsidR="00342737" w:rsidRDefault="00342737" w:rsidP="007D3782">
      <w:r>
        <w:separator/>
      </w:r>
    </w:p>
  </w:footnote>
  <w:footnote w:type="continuationSeparator" w:id="0">
    <w:p w14:paraId="1C002040" w14:textId="77777777" w:rsidR="00342737" w:rsidRDefault="00342737" w:rsidP="007D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005"/>
    <w:multiLevelType w:val="multilevel"/>
    <w:tmpl w:val="229C1C38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CE5"/>
    <w:rsid w:val="00264CE5"/>
    <w:rsid w:val="00342737"/>
    <w:rsid w:val="00467284"/>
    <w:rsid w:val="00605527"/>
    <w:rsid w:val="00710E1B"/>
    <w:rsid w:val="007D3782"/>
    <w:rsid w:val="007E69F9"/>
    <w:rsid w:val="00827CFC"/>
    <w:rsid w:val="00860083"/>
    <w:rsid w:val="00B63B8A"/>
    <w:rsid w:val="00D11046"/>
    <w:rsid w:val="00D97D55"/>
    <w:rsid w:val="00F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C4C9"/>
  <w15:docId w15:val="{BD409095-A8F3-41C1-A0C9-AC3B666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7D55"/>
    <w:pPr>
      <w:ind w:firstLine="900"/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97D55"/>
    <w:pPr>
      <w:ind w:firstLine="900"/>
      <w:jc w:val="both"/>
      <w:outlineLvl w:val="1"/>
    </w:pPr>
    <w:rPr>
      <w:rFonts w:eastAsia="Times New Roman"/>
      <w:b/>
      <w:bCs/>
      <w:caps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97D55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97D55"/>
    <w:pPr>
      <w:keepNext/>
      <w:numPr>
        <w:ilvl w:val="3"/>
        <w:numId w:val="7"/>
      </w:numPr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97D55"/>
    <w:pPr>
      <w:numPr>
        <w:ilvl w:val="4"/>
        <w:numId w:val="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97D55"/>
    <w:pPr>
      <w:numPr>
        <w:ilvl w:val="5"/>
        <w:numId w:val="7"/>
      </w:numPr>
      <w:spacing w:before="240" w:after="60"/>
      <w:outlineLvl w:val="5"/>
    </w:pPr>
    <w:rPr>
      <w:rFonts w:eastAsia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7D55"/>
    <w:pPr>
      <w:numPr>
        <w:ilvl w:val="6"/>
        <w:numId w:val="7"/>
      </w:num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D97D55"/>
    <w:pPr>
      <w:numPr>
        <w:ilvl w:val="7"/>
        <w:numId w:val="7"/>
      </w:numPr>
      <w:spacing w:before="240" w:after="60"/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D97D5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7D55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D97D55"/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D97D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7D55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97D55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97D5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link w:val="7"/>
    <w:rsid w:val="00D97D5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D97D55"/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D97D55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semiHidden/>
    <w:unhideWhenUsed/>
    <w:rsid w:val="00264CE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64CE5"/>
    <w:rPr>
      <w:color w:val="0000FF"/>
      <w:u w:val="single"/>
    </w:rPr>
  </w:style>
  <w:style w:type="paragraph" w:customStyle="1" w:styleId="toleft">
    <w:name w:val="toleft"/>
    <w:basedOn w:val="a"/>
    <w:rsid w:val="00264CE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D3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3782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3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37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104924/" TargetMode="External"/><Relationship Id="rId13" Type="http://schemas.openxmlformats.org/officeDocument/2006/relationships/hyperlink" Target="https://www.garant.ru/products/ipo/prime/doc/72104924/" TargetMode="External"/><Relationship Id="rId18" Type="http://schemas.openxmlformats.org/officeDocument/2006/relationships/hyperlink" Target="https://www.garant.ru/products/ipo/prime/doc/72104924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72104924/" TargetMode="External"/><Relationship Id="rId7" Type="http://schemas.openxmlformats.org/officeDocument/2006/relationships/hyperlink" Target="https://www.garant.ru/products/ipo/prime/doc/72104924/" TargetMode="External"/><Relationship Id="rId12" Type="http://schemas.openxmlformats.org/officeDocument/2006/relationships/hyperlink" Target="https://www.garant.ru/products/ipo/prime/doc/72104924/" TargetMode="External"/><Relationship Id="rId17" Type="http://schemas.openxmlformats.org/officeDocument/2006/relationships/hyperlink" Target="https://www.garant.ru/products/ipo/prime/doc/72104924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72104924/" TargetMode="External"/><Relationship Id="rId20" Type="http://schemas.openxmlformats.org/officeDocument/2006/relationships/hyperlink" Target="https://www.garant.ru/products/ipo/prime/doc/7210492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products/ipo/prime/doc/72104924/" TargetMode="External"/><Relationship Id="rId24" Type="http://schemas.openxmlformats.org/officeDocument/2006/relationships/hyperlink" Target="https://www.garant.ru/products/ipo/prime/doc/721049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rant.ru/products/ipo/prime/doc/72104924/" TargetMode="External"/><Relationship Id="rId23" Type="http://schemas.openxmlformats.org/officeDocument/2006/relationships/hyperlink" Target="https://www.garant.ru/products/ipo/prime/doc/72104924/" TargetMode="External"/><Relationship Id="rId10" Type="http://schemas.openxmlformats.org/officeDocument/2006/relationships/hyperlink" Target="https://www.garant.ru/products/ipo/prime/doc/72104924/" TargetMode="External"/><Relationship Id="rId19" Type="http://schemas.openxmlformats.org/officeDocument/2006/relationships/hyperlink" Target="https://www.garant.ru/products/ipo/prime/doc/721049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2104924/" TargetMode="External"/><Relationship Id="rId14" Type="http://schemas.openxmlformats.org/officeDocument/2006/relationships/hyperlink" Target="https://www.garant.ru/products/ipo/prime/doc/72104924/" TargetMode="External"/><Relationship Id="rId22" Type="http://schemas.openxmlformats.org/officeDocument/2006/relationships/hyperlink" Target="https://www.garant.ru/products/ipo/prime/doc/7210492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5962</Words>
  <Characters>33989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Косичкин</dc:creator>
  <cp:lastModifiedBy>Косичкин Р.О.</cp:lastModifiedBy>
  <cp:revision>4</cp:revision>
  <dcterms:created xsi:type="dcterms:W3CDTF">2019-05-24T10:00:00Z</dcterms:created>
  <dcterms:modified xsi:type="dcterms:W3CDTF">2019-09-09T07:55:00Z</dcterms:modified>
</cp:coreProperties>
</file>